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пристрастей чаші…</w:t>
      </w:r>
    </w:p>
    <w:p>
      <w:r>
        <w:br/>
        <w:t xml:space="preserve"> Ми пристрастей чаші – наповнені ними, солоні.&lt;br /&gt;</w:t>
        <w:br/>
        <w:t>Гулка потаємність і туга – мов сад під дощем.&lt;br /&gt;</w:t>
        <w:br/>
        <w:t>Я хочу тебе цілувати в уста і в долоні.&lt;br /&gt;</w:t>
        <w:br/>
        <w:t>Безмежно тобі віддаватись. І ще раз. І ще.&lt;br /&gt;</w:t>
        <w:br/>
        <w:t>Це так ненавмисно, зненацька – і так прямовисно.&lt;br /&gt;</w:t>
        <w:br/>
        <w:t>Любов, що здається любов’ю, – стається і є.&lt;br /&gt;</w:t>
        <w:br/>
        <w:t>Я смію тебе. І, можливо, іще не запізно&lt;br /&gt;</w:t>
        <w:br/>
        <w:t>Тебе цілувати і дихати ім’я твоє.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пристрастей чаші…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