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Метелик</w:t>
      </w:r>
    </w:p>
    <w:p>
      <w:r>
        <w:br/>
        <w:t xml:space="preserve"> Діти бігають, стрибають,&lt;br /&gt;</w:t>
        <w:br/>
        <w:t>Далі — весело гукають:&lt;br /&gt;</w:t>
        <w:br/>
        <w:t>— Ах, метелик!.. подивіться!..&lt;br /&gt;</w:t>
        <w:br/>
        <w:t>Ось він, ось він метушиться!&lt;br /&gt;</w:t>
        <w:br/>
        <w:t>Та який же гарний, гожий!&lt;br /&gt;</w:t>
        <w:br/>
        <w:t>Наче квітка, прехороший!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Метелик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