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Меча років – об вікна ранків, бо...</w:t>
      </w:r>
    </w:p>
    <w:p>
      <w:r>
        <w:br/>
        <w:t xml:space="preserve"> Меча років – об вікна ранків, бо&lt;br /&gt;</w:t>
        <w:br/>
        <w:t>вік орачем.&lt;br /&gt;</w:t>
        <w:br/>
        <w:t>Меча років – об риму мир, бо вік&lt;br /&gt;</w:t>
        <w:br/>
        <w:t>орачем.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Меча років – об вікна ранків, бо...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