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Мати</w:t>
      </w:r>
    </w:p>
    <w:p>
      <w:r>
        <w:br/>
        <w:t xml:space="preserve"> На лавиці два коники.&lt;br /&gt;</w:t>
        <w:br/>
        <w:t>Два коники з сиру.&lt;br /&gt;</w:t>
        <w:br/>
        <w:t>Вставай — пора до школи йти,&lt;br /&gt;</w:t>
        <w:br/>
        <w:t>Сину.</w:t>
      </w:r>
    </w:p>
    <w:p>
      <w:r>
        <w:br/>
        <w:t>На лавиці стара мати.&lt;br /&gt;</w:t>
        <w:br/>
        <w:t>Кінь ірже присилений.&lt;br /&gt;</w:t>
        <w:br/>
        <w:t>Коли ж тебе виглядати,&lt;br /&gt;</w:t>
        <w:br/>
        <w:t>Сину?</w:t>
      </w:r>
    </w:p>
    <w:p>
      <w:r>
        <w:br/>
        <w:t>На лавиці два голуби,&lt;br /&gt;</w:t>
        <w:br/>
        <w:t>Два голуби сиві.&lt;br /&gt;</w:t>
        <w:br/>
        <w:t>Третій голуб за горами.&lt;br /&gt;</w:t>
        <w:br/>
        <w:t>Сину…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