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Мандрівна квітка</w:t>
      </w:r>
    </w:p>
    <w:p>
      <w:r>
        <w:br/>
        <w:t xml:space="preserve"> Така у мене квітка,&lt;br /&gt;</w:t>
        <w:br/>
        <w:t>що дома не сидить,&lt;br /&gt;</w:t>
        <w:br/>
        <w:t>гасає по сусідах&lt;br /&gt;</w:t>
        <w:br/>
        <w:t>і стиха бубонить:</w:t>
      </w:r>
    </w:p>
    <w:p>
      <w:r>
        <w:br/>
        <w:t>— Я зроду мандрівниця,&lt;br /&gt;</w:t>
        <w:br/>
        <w:t>для мене, як на те,&lt;br /&gt;</w:t>
        <w:br/>
        <w:t>і громовиць немає,&lt;br /&gt;</w:t>
        <w:br/>
        <w:t>і сонечко цвіте.</w:t>
      </w:r>
    </w:p>
    <w:p>
      <w:r>
        <w:br/>
        <w:t>Смородяно! Малиново!&lt;br /&gt;</w:t>
        <w:br/>
        <w:t>По голови трава!&lt;br /&gt;</w:t>
        <w:br/>
        <w:t>Чого ж сидіти сидьма?&lt;br /&gt;</w:t>
        <w:br/>
        <w:t>Чого не мандрувать?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Мандрівна квітка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