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Кучерявий баранець</w:t>
      </w:r>
    </w:p>
    <w:p>
      <w:r>
        <w:br/>
        <w:t xml:space="preserve"> Кучерявий баранець&lt;br /&gt;</w:t>
        <w:br/>
        <w:t>Мекав: "Дайте гребінець.&lt;br /&gt;</w:t>
        <w:br/>
        <w:t>Я гладеньким хочу стати".&lt;br /&gt;</w:t>
        <w:br/>
        <w:t>І сказала добра мати:</w:t>
      </w:r>
    </w:p>
    <w:p>
      <w:r>
        <w:br/>
        <w:t>"Не пригладжуй чуба, нащо —&lt;br /&gt;</w:t>
        <w:br/>
        <w:t>Кучерявим бути краще.&lt;br /&gt;</w:t>
        <w:br/>
        <w:t>Баранцеві до лиця&lt;br /&gt;</w:t>
        <w:br/>
        <w:t>Чуб носить без гребінця..."</w:t>
      </w:r>
    </w:p>
    <w:p>
      <w:r>
        <w:br/>
        <w:t>Але ти не баранець —&lt;br /&gt;</w:t>
        <w:br/>
        <w:t>Треба мати гребінець.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Кучерявий баранець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