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</w:t>
      </w:r>
    </w:p>
    <w:p>
      <w:r>
        <w:br/>
        <w:t xml:space="preserve"> Волохата синя гусінь&lt;br /&gt;</w:t>
        <w:br/>
        <w:t>Цілий день була не в дусі:&lt;br /&gt;</w:t>
        <w:br/>
        <w:t>І у спокої, і в русі&lt;br /&gt;</w:t>
        <w:br/>
        <w:t>Щось гуло у лівім вусі.</w:t>
      </w:r>
    </w:p>
    <w:p>
      <w:r>
        <w:br/>
        <w:t>З’ясувалося, що це –&lt;br /&gt;</w:t>
        <w:br/>
        <w:t>Не гудіння, а концерт,&lt;br /&gt;</w:t>
        <w:br/>
        <w:t>А музиками були&lt;br /&gt;</w:t>
        <w:br/>
        <w:t>Два джмелі і дві бджоли.</w:t>
      </w:r>
    </w:p>
    <w:p>
      <w:r>
        <w:br/>
        <w:t>Я відкрию вам секрет:&lt;br /&gt;</w:t>
        <w:br/>
        <w:t>Два дуети – вже квартет.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