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Коник</w:t>
      </w:r>
    </w:p>
    <w:p>
      <w:r>
        <w:br/>
        <w:t xml:space="preserve"> Я зробив собі конька,&lt;br /&gt;</w:t>
        <w:br/>
        <w:t>Стригуночка-воронька.&lt;br /&gt;</w:t>
        <w:br/>
        <w:t>Взяв, запріг його у возик,&lt;br /&gt;</w:t>
        <w:br/>
        <w:t>Але він мене не возить.&lt;br /&gt;</w:t>
        <w:br/>
        <w:t>Попросив би я конька&lt;br /&gt;</w:t>
        <w:br/>
        <w:t>На конюшні у Ілька,&lt;br /&gt;</w:t>
        <w:br/>
        <w:t>Не вербового,&lt;br /&gt;</w:t>
        <w:br/>
        <w:t>Живого,&lt;br /&gt;</w:t>
        <w:br/>
        <w:t>Та боюсь — впаду із нього&lt;br /&gt;</w:t>
        <w:br/>
        <w:t>Всім на сміх і на біду...&lt;br /&gt;</w:t>
        <w:br/>
        <w:t>Краще з цим у двір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