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Киця</w:t>
      </w:r>
    </w:p>
    <w:p>
      <w:r>
        <w:br/>
        <w:t xml:space="preserve"> — Кицю, кицю,&lt;br /&gt;</w:t>
        <w:br/>
        <w:t>Де була?&lt;br /&gt;</w:t>
        <w:br/>
        <w:t>Що ти їла,&lt;br /&gt;</w:t>
        <w:br/>
        <w:t>Що пила?</w:t>
      </w:r>
    </w:p>
    <w:p>
      <w:r>
        <w:br/>
        <w:t>— Я на річці була,&lt;br /&gt;</w:t>
        <w:br/>
        <w:t>Там водичку пила,&lt;br /&gt;</w:t>
        <w:br/>
        <w:t>А що їла — не скажу,&lt;br /&gt;</w:t>
        <w:br/>
        <w:t>Тільки хвостик покажу.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