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Хвилюють, ходять, шумлять жита...</w:t>
      </w:r>
    </w:p>
    <w:p>
      <w:r>
        <w:br/>
        <w:t xml:space="preserve"> Хвилюють, ходять, шумлять жита,&lt;br /&gt;</w:t>
        <w:br/>
        <w:t>Злотисто-жовті, украй налиті,&lt;br /&gt;</w:t>
        <w:br/>
        <w:t>Над ними неба блакить свята,&lt;br /&gt;</w:t>
        <w:br/>
        <w:t>Ані хмаринки у тій блакиті.</w:t>
      </w:r>
    </w:p>
    <w:p>
      <w:r>
        <w:br/>
        <w:t>Співає срібна в душі труба.&lt;br /&gt;</w:t>
        <w:br/>
        <w:t>Душа квітками, як клумби, квітне,&lt;br /&gt;</w:t>
        <w:br/>
        <w:t>Хліба і небо, небо й хліба,—&lt;br /&gt;</w:t>
        <w:br/>
        <w:t>Куди не глянеш, жовто-блакитні...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Хвилюють, ходять, шумлять жита...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