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Холодна ніч</w:t>
      </w:r>
    </w:p>
    <w:p>
      <w:r>
        <w:br/>
        <w:t xml:space="preserve"> Хлющать дощі — і тут, і вдалині.&lt;br /&gt;</w:t>
        <w:br/>
        <w:t>Громи стоять, як вартові, над ними.&lt;br /&gt;</w:t>
        <w:br/>
        <w:t>Щовечора лягає спати ніч&lt;br /&gt;</w:t>
        <w:br/>
        <w:t>під мокрими кущами горобини.</w:t>
      </w:r>
    </w:p>
    <w:p>
      <w:r>
        <w:br/>
        <w:t>На неї блима чорним оком птах,&lt;br /&gt;</w:t>
        <w:br/>
        <w:t>немовби то не око, а безодня.&lt;br /&gt;</w:t>
        <w:br/>
        <w:t>І зайчик іспросоння запитав:&lt;br /&gt;</w:t>
        <w:br/>
        <w:t>— Ти, мабуть, змерзла,&lt;br /&gt;</w:t>
        <w:br/>
        <w:t>що така холодна?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Холодна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