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Хід життя</w:t>
      </w:r>
    </w:p>
    <w:p>
      <w:r>
        <w:br/>
        <w:t xml:space="preserve"> Як багато в тебе є,&lt;br /&gt;</w:t>
        <w:br/>
        <w:t>То ще більше ти придбаєш.&lt;br /&gt;</w:t>
        <w:br/>
        <w:t>Маєш мало — одберуть&lt;br /&gt;</w:t>
        <w:br/>
        <w:t>І найменше, що ти маєш.</w:t>
      </w:r>
    </w:p>
    <w:p>
      <w:r>
        <w:br/>
        <w:t>Коли ж зовсім голий ти,-&lt;br /&gt;</w:t>
        <w:br/>
        <w:t>Ляж в могилу в силі, в цвіті.&lt;br /&gt;</w:t>
        <w:br/>
        <w:t>Той лиш має право жить,&lt;br /&gt;</w:t>
        <w:br/>
        <w:t>Хто хоч дещо має в світі.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Хід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