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я кажу в своєму саду</w:t>
      </w:r>
    </w:p>
    <w:p>
      <w:r>
        <w:br/>
        <w:t xml:space="preserve"> Калині кажу:&lt;br /&gt;</w:t>
        <w:br/>
        <w:t>— Тітко Калино!&lt;br /&gt;</w:t>
        <w:br/>
        <w:t>Горіхові кажу:&lt;br /&gt;</w:t>
        <w:br/>
        <w:t>— Дядьку Горіше!&lt;br /&gt;</w:t>
        <w:br/>
        <w:t>Нагідці кажу:&lt;br /&gt;</w:t>
        <w:br/>
        <w:t>— Сестро Нагідко!&lt;br /&gt;</w:t>
        <w:br/>
        <w:t>Барвінку кажу:&lt;br /&gt;</w:t>
        <w:br/>
        <w:t>— Брате Барвінку!&lt;br /&gt;</w:t>
        <w:br/>
        <w:t>А Хризантемі:&lt;br /&gt;</w:t>
        <w:br/>
        <w:t>— Панно!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я кажу в своєму саду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