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бачу світ пишний і неба сіяння</w:t>
      </w:r>
    </w:p>
    <w:p>
      <w:r>
        <w:br/>
        <w:t xml:space="preserve"> Я бачу світ пишний і неба сіяння,&lt;br /&gt;</w:t>
        <w:br/>
        <w:t>Лагідний вітрець і весни розцвітання,&lt;br /&gt;</w:t>
        <w:br/>
        <w:t>Долину розкішну, квіток коливання,&lt;br /&gt;</w:t>
        <w:br/>
        <w:t>Іскриться та сяє роса на них рання,&lt;br /&gt;</w:t>
        <w:br/>
        <w:t>Скрізь – люди радіють, скрізь – бачу втішання.&lt;br /&gt;</w:t>
        <w:br/>
        <w:t>А я?.. я хотів би в могилі лежать&lt;br /&gt;</w:t>
        <w:br/>
        <w:t>І мертвую любку в обіймах держать!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бачу світ пишний і неба сіяння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