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знов...</w:t>
      </w:r>
    </w:p>
    <w:p>
      <w:r>
        <w:br/>
        <w:t xml:space="preserve"> і знов</w:t>
      </w:r>
    </w:p>
    <w:p>
      <w:r>
        <w:br/>
        <w:t>трава облич</w:t>
      </w:r>
    </w:p>
    <w:p>
      <w:r>
        <w:br/>
        <w:t>стрілятись в губи</w:t>
      </w:r>
    </w:p>
    <w:p>
      <w:r>
        <w:br/>
        <w:t>свячені мальви</w:t>
      </w:r>
    </w:p>
    <w:p>
      <w:r>
        <w:br/>
        <w:t>по під</w:t>
      </w:r>
    </w:p>
    <w:p>
      <w:r>
        <w:br/>
        <w:t>небі</w:t>
      </w:r>
    </w:p>
    <w:p>
      <w:r>
        <w:br/>
        <w:t>нню с</w:t>
      </w:r>
    </w:p>
    <w:p>
      <w:r>
        <w:br/>
        <w:t>тікають</w:t>
      </w:r>
    </w:p>
    <w:p>
      <w:r>
        <w:br/>
        <w:t>зірви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