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досі сниться: під горою...</w:t>
      </w:r>
    </w:p>
    <w:p>
      <w:r>
        <w:br/>
        <w:t xml:space="preserve"> І досі сниться: під горою,&lt;br /&gt;</w:t>
        <w:br/>
        <w:t>Між вербами та над водою,&lt;br /&gt;</w:t>
        <w:br/>
        <w:t>Біленька хаточка. Сидить&lt;br /&gt;</w:t>
        <w:br/>
        <w:t>Неначе й досі сивий дід&lt;br /&gt;</w:t>
        <w:br/>
        <w:t>Коло хатиночки і бавить&lt;br /&gt;</w:t>
        <w:br/>
        <w:t>Хорошеє та кучеряве&lt;br /&gt;</w:t>
        <w:br/>
        <w:t>Своє маленькеє внуча.&lt;br /&gt;</w:t>
        <w:br/>
        <w:t>І досі сниться: вийшла з хати&lt;br /&gt;</w:t>
        <w:br/>
        <w:t>Веселая, сміючись, мати,&lt;br /&gt;</w:t>
        <w:br/>
        <w:t>Цілує діда, і дитя&lt;br /&gt;</w:t>
        <w:br/>
        <w:t>Аж тричі весело цілує,&lt;br /&gt;</w:t>
        <w:br/>
        <w:t>Прийма на руки, і годує,&lt;br /&gt;</w:t>
        <w:br/>
        <w:t>І спать несе. А дід сидить,&lt;br /&gt;</w:t>
        <w:br/>
        <w:t>І усміхається, і стиха&lt;br /&gt;</w:t>
        <w:br/>
        <w:t>Промовить нишком: — Де ж те лихо?&lt;br /&gt;</w:t>
        <w:br/>
        <w:t>Печалі тії, вороги? —</w:t>
      </w:r>
    </w:p>
    <w:p>
      <w:r>
        <w:br/>
        <w:t>І нищечком старий читає,&lt;br /&gt;</w:t>
        <w:br/>
        <w:t>Перехрестившись, "отче наш".&lt;br /&gt;</w:t>
        <w:br/>
        <w:t>Крізь верби сонечко сіяє&lt;br /&gt;</w:t>
        <w:br/>
        <w:t>І тихо гасне. День погас,&lt;br /&gt;</w:t>
        <w:br/>
        <w:t>І все почило. Сивий в хату&lt;br /&gt;</w:t>
        <w:br/>
        <w:t>Й собі пішов опочивати.</w:t>
      </w:r>
    </w:p>
    <w:p>
      <w:r>
        <w:br/>
        <w:t>[Оренбург 1850]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досі сниться: під горою...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