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Гуде похмурий джміль...</w:t>
      </w:r>
    </w:p>
    <w:p>
      <w:r>
        <w:br/>
        <w:t xml:space="preserve"> Гуде похмурий джміль і б'ється за вікном,&lt;br /&gt;</w:t>
        <w:br/>
        <w:t>в яке зоря вечірня зазирає,&lt;br /&gt;</w:t>
        <w:br/>
        <w:t>тривогу несучи, і соловей співає&lt;br /&gt;</w:t>
        <w:br/>
        <w:t>притишено, немов далекий гном.&lt;br /&gt;</w:t>
        <w:br/>
        <w:t>Грім прогримів над садом і за тим&lt;br /&gt;</w:t>
        <w:br/>
        <w:t>скотився, стишений; вже гасне і блідіє&lt;br /&gt;</w:t>
        <w:br/>
        <w:t>повітря вечора, в котрім тополя мліє&lt;br /&gt;</w:t>
        <w:br/>
        <w:t>і благовонить ладаном святим.</w:t>
      </w:r>
    </w:p>
    <w:p>
      <w:r>
        <w:br/>
        <w:t>Переклад В. Стуса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Гуде похмурий джміль...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