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Гондольєри! Не впускайте весла!..</w:t>
      </w:r>
    </w:p>
    <w:p>
      <w:r>
        <w:br/>
        <w:t xml:space="preserve"> Гондольєри! Не впускайте весла!&lt;br /&gt;</w:t>
        <w:br/>
        <w:t>Йде весна Венецією п’яна.&lt;br /&gt;</w:t>
        <w:br/>
        <w:t>На каналів різнобарвні плеса&lt;br /&gt;</w:t>
        <w:br/>
        <w:t>Викотилось яблуко рум’яне.</w:t>
      </w:r>
    </w:p>
    <w:p>
      <w:r>
        <w:br/>
        <w:t>І вино густе, як кров венозна.&lt;br /&gt;</w:t>
        <w:br/>
        <w:t>Весняна Венеція довкола.&lt;br /&gt;</w:t>
        <w:br/>
        <w:t>Бозна-звідки ллється голос. Бозна…&lt;br /&gt;</w:t>
        <w:br/>
        <w:t>Баркарола. Чуєш? Баркарола…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Гондольєри! Не впускайте весла!..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