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Голосіння</w:t>
      </w:r>
    </w:p>
    <w:p>
      <w:r>
        <w:br/>
        <w:t xml:space="preserve"> Ленінградську біду&lt;br /&gt;</w:t>
        <w:br/>
        <w:t>Руками не розведу,&lt;br /&gt;</w:t>
        <w:br/>
        <w:t>Сльозами не змию,&lt;br /&gt;</w:t>
        <w:br/>
        <w:t>В землю не зарию.&lt;br /&gt;</w:t>
        <w:br/>
        <w:t>За версту обійду&lt;br /&gt;</w:t>
        <w:br/>
        <w:t>Ленінградську біду.&lt;br /&gt;</w:t>
        <w:br/>
        <w:t>Із лихом, із горем&lt;br /&gt;</w:t>
        <w:br/>
        <w:t>Не словом-докором —&lt;br /&gt;</w:t>
        <w:br/>
        <w:t>Поклоном доземним&lt;br /&gt;</w:t>
        <w:br/>
        <w:t>У полі зеленім&lt;br /&gt;</w:t>
        <w:br/>
        <w:t>Пом'яну.</w:t>
      </w:r>
    </w:p>
    <w:p>
      <w:r>
        <w:br/>
        <w:t>1944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Голосіння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