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Глянь: золоть, ледве вичутна...</w:t>
      </w:r>
    </w:p>
    <w:p>
      <w:r>
        <w:br/>
        <w:t xml:space="preserve"> Глянь: золоть, ледве вичутна,&lt;br /&gt;</w:t>
        <w:br/>
        <w:t>Лягає на ліси.&lt;br /&gt;</w:t>
        <w:br/>
        <w:t>Ах, серце, чуєш: кличуть нас&lt;br /&gt;</w:t>
        <w:br/>
        <w:t>Далекі голоси.</w:t>
      </w:r>
    </w:p>
    <w:p>
      <w:r>
        <w:br/>
        <w:t>Ховаючись за обрії,&lt;br /&gt;</w:t>
        <w:br/>
        <w:t>Там жде крило пожеж,&lt;br /&gt;</w:t>
        <w:br/>
        <w:t>В барв полум’яних оргії&lt;br /&gt;</w:t>
        <w:br/>
        <w:t>Ти знову спалахнеш!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Глянь: золоть, ледве вичутна...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