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Глядить сумна ялиця</w:t>
      </w:r>
    </w:p>
    <w:p>
      <w:r>
        <w:br/>
        <w:t xml:space="preserve"> Глядить сумна ялиця&lt;br /&gt;</w:t>
        <w:br/>
        <w:t>На зимні береги,&lt;br /&gt;</w:t>
        <w:br/>
        <w:t>Над нею студінь злиться,&lt;br /&gt;</w:t>
        <w:br/>
        <w:t>Окутують сніги.</w:t>
      </w:r>
    </w:p>
    <w:p>
      <w:r>
        <w:br/>
        <w:t>Про пальму тихо мріє,&lt;br /&gt;</w:t>
        <w:br/>
        <w:t>Що в сонячній землі&lt;br /&gt;</w:t>
        <w:br/>
        <w:t>В жарі проміння мліє&lt;br /&gt;</w:t>
        <w:br/>
        <w:t>Самотня на скалі.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Глядить сумна ялиця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