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Фанні Брон</w:t>
      </w:r>
    </w:p>
    <w:p>
      <w:r>
        <w:br/>
        <w:t xml:space="preserve"> Оця рука, жива й гаряча, здатна&lt;br /&gt;</w:t>
        <w:br/>
        <w:t>До стиску дужого, якби схолола&lt;br /&gt;</w:t>
        <w:br/>
        <w:t>В безмовності могили крижаній,&lt;br /&gt;</w:t>
        <w:br/>
        <w:t>Ввижалася б щодня тобі й проймала&lt;br /&gt;</w:t>
        <w:br/>
        <w:t>Тебе; морозом уночі — й ти б радо&lt;br /&gt;</w:t>
        <w:br/>
        <w:t>Всю серця кров дала, щоб знов червоне&lt;br /&gt;</w:t>
        <w:br/>
        <w:t>У мене в жилах потекло життя&lt;br /&gt;</w:t>
        <w:br/>
        <w:t>I заспокоїлось твоє сумління.&lt;br /&gt;</w:t>
        <w:br/>
        <w:t>Дивися ж — ось вона, я простягаю&lt;br /&gt;</w:t>
        <w:br/>
        <w:t>Її до тебе.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Фанні Брон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