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Дивовижа та чуднісінька...</w:t>
      </w:r>
    </w:p>
    <w:p>
      <w:r>
        <w:br/>
        <w:t xml:space="preserve"> Дивовижа та й чуднісінька —&lt;br /&gt;</w:t>
        <w:br/>
        <w:t>Невеличка часом пісенька,&lt;br /&gt;</w:t>
        <w:br/>
        <w:t>А громаду поруша:</w:t>
      </w:r>
    </w:p>
    <w:p>
      <w:r>
        <w:br/>
        <w:t>В її відгуках милесеньких,&lt;br /&gt;</w:t>
        <w:br/>
        <w:t>Що ніжніш від струн тонесеньких,&lt;br /&gt;</w:t>
        <w:br/>
        <w:t>Виявляється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Дивовижа та чуднісінька...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