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Тимко подряпаний</w:t>
      </w:r>
    </w:p>
    <w:p>
      <w:r>
        <w:br/>
        <w:t xml:space="preserve"> — Чому це ти подряпаний? —-&lt;br /&gt;</w:t>
        <w:br/>
        <w:t>Юрко Тимка пита.&lt;br /&gt;</w:t>
        <w:br/>
        <w:t>Тимко йому відказує:&lt;br /&gt;</w:t>
        <w:br/>
        <w:t>— Та я ж купав кота!</w:t>
      </w:r>
    </w:p>
    <w:p>
      <w:r>
        <w:br/>
        <w:t>— А я от не подряпаний,&lt;br /&gt;</w:t>
        <w:br/>
        <w:t>Хоч теж купав свого...&lt;br /&gt;</w:t>
        <w:br/>
        <w:t>— Еге, ти ж не викручував&lt;br /&gt;</w:t>
        <w:br/>
        <w:t>І не сушив його!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Тимко подряпаний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