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Буває така розмова...</w:t>
      </w:r>
    </w:p>
    <w:p>
      <w:r>
        <w:br/>
        <w:t xml:space="preserve"> Буває така розмова,&lt;br /&gt;</w:t>
        <w:br/>
        <w:t>Що ув'язнює, наче кліть.&lt;br /&gt;</w:t>
        <w:br/>
        <w:t>Темрява розумова,&lt;br /&gt;</w:t>
        <w:br/>
        <w:t>Як бескид, міцна стоїть.</w:t>
      </w:r>
    </w:p>
    <w:p>
      <w:r>
        <w:br/>
        <w:t>Буває таке мовчання&lt;br /&gt;</w:t>
        <w:br/>
        <w:t>Несподіване і страшне,&lt;br /&gt;</w:t>
        <w:br/>
        <w:t>Що тільки вибух ридання&lt;br /&gt;</w:t>
        <w:br/>
        <w:t>Від смерті рятує мене.</w:t>
      </w:r>
    </w:p>
    <w:p>
      <w:r>
        <w:br/>
        <w:t>Буває така година,&lt;br /&gt;</w:t>
        <w:br/>
        <w:t>Коли повертав глузд&lt;br /&gt;</w:t>
        <w:br/>
        <w:t>Моєму життю єдина&lt;br /&gt;</w:t>
        <w:br/>
        <w:t>Усмішка милих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Буває така розмова...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