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Бондарівна</w:t>
      </w:r>
    </w:p>
    <w:p>
      <w:r>
        <w:br/>
        <w:t xml:space="preserve"> Ой, не вітер то гуде над дахом,&lt;br /&gt;</w:t>
        <w:br/>
        <w:t>Поринає в сиву далину —&lt;br /&gt;</w:t>
        <w:br/>
        <w:t>Зграя гайвороння, птах за птахом,&lt;br /&gt;</w:t>
        <w:br/>
        <w:t>Обминає Бондарівнину труну.</w:t>
      </w:r>
    </w:p>
    <w:p>
      <w:r>
        <w:br/>
        <w:t>Ти лежи, лежи в труні сосновій,&lt;br /&gt;</w:t>
        <w:br/>
        <w:t>Бондарівно, дівко молода;&lt;br /&gt;</w:t>
        <w:br/>
        <w:t>Потемніла, помутніла з крові&lt;br /&gt;</w:t>
        <w:br/>
        <w:t>У Дніпрі широкому уся вода.</w:t>
      </w:r>
    </w:p>
    <w:p>
      <w:r>
        <w:br/>
        <w:t>Гей, на коні, і шаблі в долоні,&lt;br /&gt;</w:t>
        <w:br/>
        <w:t>Тільки вітер шляхом заміта.&lt;br /&gt;</w:t>
        <w:br/>
        <w:t>У небесній грозовій опоні&lt;br /&gt;</w:t>
        <w:br/>
        <w:t>Проступила тінь вогненного хреста.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Бондарівна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