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Біжімо стрічати весну!</w:t>
      </w:r>
    </w:p>
    <w:p>
      <w:r>
        <w:br/>
        <w:t xml:space="preserve"> На яворі — сонячні бризки,&lt;br /&gt;</w:t>
        <w:br/>
        <w:t>Парує поораний лан,&lt;br /&gt;</w:t>
        <w:br/>
        <w:t>Берізки, берізки, берізки&lt;br /&gt;</w:t>
        <w:br/>
        <w:t>Вдяглися в зелений туман.</w:t>
      </w:r>
    </w:p>
    <w:p>
      <w:r>
        <w:br/>
        <w:t>І човен на річці, мов цятка,&lt;br /&gt;</w:t>
        <w:br/>
        <w:t>У синю пливе далину...&lt;br /&gt;</w:t>
        <w:br/>
        <w:t>Дівчатка, дівчатка, дівчатка,&lt;br /&gt;</w:t>
        <w:br/>
        <w:t>Біжімо стрічати весну!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Біжімо стрічати весну!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