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Білого гриба запах сниться — тулиш до листя...</w:t>
      </w:r>
    </w:p>
    <w:p>
      <w:r>
        <w:br/>
        <w:t xml:space="preserve"> Білого гриба запах сниться — тулиш до листя&lt;br /&gt;</w:t>
        <w:br/>
        <w:t>губи припухлі свої — націловані… Прокидайся!&lt;br /&gt;</w:t>
        <w:br/>
        <w:t>Небо, всмоктане стромом взору, стискає птицю.&lt;br /&gt;</w:t>
        <w:br/>
        <w:t>Не відпускає.</w:t>
      </w:r>
    </w:p>
    <w:p>
      <w:r>
        <w:br/>
        <w:t>Запах один — білого гриба! — сниться — під листям&lt;br /&gt;</w:t>
        <w:br/>
        <w:t>переховай, хвоєю вкрий і — прокидайся!…&lt;br /&gt;</w:t>
        <w:br/>
        <w:t>Може, небо, стиснуте звором, видихне птицю.&lt;br /&gt;</w:t>
        <w:br/>
        <w:t>Може, ще вчасно,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Білого гриба запах сниться — тулиш до листя...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