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Кастальського джерела</w:t>
      </w:r>
    </w:p>
    <w:p>
      <w:r>
        <w:br/>
        <w:t xml:space="preserve"> Напився, втер уста і вигукнув: "Хвала!"&lt;br /&gt;</w:t>
        <w:br/>
        <w:t>Той гук удалині&lt;br /&gt;</w:t>
        <w:br/>
        <w:t>Луною оддало...</w:t>
      </w:r>
    </w:p>
    <w:p>
      <w:r>
        <w:br/>
        <w:t>Оспіване стократ кастальське джерело!&lt;br /&gt;</w:t>
        <w:br/>
        <w:t>Спасибі від душі! Ти ж нині і мені&lt;br /&gt;</w:t>
        <w:br/>
        <w:t>Ущерть того пиття дзвінкого налило,&lt;br /&gt;</w:t>
        <w:br/>
        <w:t>Натхнення віщого, що зроджує пісні!&lt;br /&gt;</w:t>
        <w:br/>
        <w:t>Хвала! Хвала!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Кастальського джерела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