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вода</w:t>
      </w:r>
    </w:p>
    <w:p>
      <w:r>
        <w:br/>
        <w:t xml:space="preserve"> В річці вода біла,&lt;br /&gt;</w:t>
        <w:br/>
        <w:t>може, через те, що швидко бігла.&lt;br /&gt;</w:t>
        <w:br/>
        <w:t>Біжить біла вода-&lt;br /&gt;</w:t>
        <w:br/>
        <w:t>Біла, бо на камені дівчата миють білі ноги.&lt;br /&gt;</w:t>
        <w:br/>
        <w:t>Бо квіти білі пливуть,&lt;br /&gt;</w:t>
        <w:br/>
        <w:t>а за ними білі качки;&lt;br /&gt;</w:t>
        <w:br/>
        <w:t>і ходить берегом хлопчик,&lt;br /&gt;</w:t>
        <w:br/>
        <w:t>і носить відерце,&lt;br /&gt;</w:t>
        <w:br/>
        <w:t>а замість рибинок у тому відерці&lt;br /&gt;</w:t>
        <w:br/>
        <w:t>білі камінчики.&lt;br /&gt;</w:t>
        <w:br/>
        <w:t>— Що ти носиш? — питає мати.&lt;br /&gt;</w:t>
        <w:br/>
        <w:t>— Білу воду,— сміється білозубий хлопчик.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вода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