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Березень</w:t>
      </w:r>
    </w:p>
    <w:p>
      <w:r>
        <w:br/>
        <w:t xml:space="preserve"> Зірвався сніг — до ночі не стихає.&lt;br /&gt;</w:t>
        <w:br/>
        <w:t>Невже Зима надумала вернутись?&lt;br /&gt;</w:t>
        <w:br/>
        <w:t>Шпаківню у саду вже так гойдає,&lt;br /&gt;</w:t>
        <w:br/>
        <w:t>що їй завиграшки й перевернутись.</w:t>
      </w:r>
    </w:p>
    <w:p>
      <w:r>
        <w:br/>
        <w:t>Шпаки негоду переждуть на вишні,&lt;br /&gt;</w:t>
        <w:br/>
        <w:t>гукаючи мені через дорогу:&lt;br /&gt;</w:t>
        <w:br/>
        <w:t>— Не бійся хмар — вони уже торішні!&lt;br /&gt;</w:t>
        <w:br/>
        <w:t>— Не бійся снігу — він же не надовго!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Березень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