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 меркнуть…</w:t>
      </w:r>
    </w:p>
    <w:p>
      <w:r>
        <w:br/>
        <w:t xml:space="preserve"> На кучерявих пнях діброви&lt;br /&gt;</w:t>
        <w:br/>
        <w:t>Нічка сріблисті тче основи,&lt;br /&gt;</w:t>
        <w:br/>
        <w:t>Срібним промінням тче, гаптує,&lt;br /&gt;</w:t>
        <w:br/>
        <w:t>Внизу дрижучі листи туї,&lt;br /&gt;</w:t>
        <w:br/>
        <w:t>Внизу дрижучі…</w:t>
      </w:r>
    </w:p>
    <w:p>
      <w:r>
        <w:br/>
        <w:t>На веретені мого серця&lt;br /&gt;</w:t>
        <w:br/>
        <w:t>Смуток сріблисті тче десені,&lt;br /&gt;</w:t>
        <w:br/>
        <w:t>Різноманітні творить взори,&lt;br /&gt;</w:t>
        <w:br/>
        <w:t>Меркнуть на небі метеори,&lt;br /&gt;</w:t>
        <w:br/>
        <w:t>Меркнуть на небі…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 меркнуть…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