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Запливає ранок</w:t>
      </w:r>
    </w:p>
    <w:p>
      <w:r>
        <w:br/>
        <w:t xml:space="preserve"> Запливає ранок&lt;br /&gt;</w:t>
        <w:br/>
        <w:t>голубим човном:&lt;br /&gt;</w:t>
        <w:br/>
        <w:t>сонце — за веслярика,&lt;br /&gt;</w:t>
        <w:br/>
        <w:t>за музику — гном.</w:t>
      </w:r>
    </w:p>
    <w:p>
      <w:r>
        <w:br/>
        <w:t>Вже година човнику&lt;br /&gt;</w:t>
        <w:br/>
        <w:t>до берега пристать.&lt;br /&gt;</w:t>
        <w:br/>
        <w:t>Запливає ранок.&lt;br /&gt;</w:t>
        <w:br/>
        <w:t>Весла хлюпотять.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Запливає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