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воротами світло зелене...</w:t>
      </w:r>
    </w:p>
    <w:p>
      <w:r>
        <w:br/>
        <w:t xml:space="preserve"> За воротами світло зелене&lt;br /&gt;</w:t>
        <w:br/>
        <w:t>в'ється, як виноградна лоза,&lt;br /&gt;</w:t>
        <w:br/>
        <w:t>вийти — каже до мене —&lt;br /&gt;</w:t>
        <w:br/>
        <w:t>І винести найзолотіші слова&lt;br /&gt;</w:t>
        <w:br/>
        <w:t>для найтихішого гостя,&lt;br /&gt;</w:t>
        <w:br/>
        <w:t>який у воротах став:&lt;br /&gt;</w:t>
        <w:br/>
        <w:t>були його очі голі&lt;br /&gt;</w:t>
        <w:br/>
        <w:t>І чистішими, ніж криниця, уста.&lt;br /&gt;</w:t>
        <w:br/>
        <w:t>Гостю зелений, здрастуй!&lt;br /&gt;</w:t>
        <w:br/>
        <w:t>З дороги спочити сядь —&lt;br /&gt;</w:t>
        <w:br/>
        <w:t>без тебе мій сад не зростає —&lt;br /&gt;</w:t>
        <w:br/>
        <w:t>сохне на пні мій сад.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воротами світло зелене...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