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око — враже око…</w:t>
      </w:r>
    </w:p>
    <w:p>
      <w:r>
        <w:br/>
        <w:t xml:space="preserve"> За око — враже око,&lt;br /&gt;</w:t>
        <w:br/>
        <w:t>оселя — за оселю!&lt;br /&gt;</w:t>
        <w:br/>
        <w:t>Благословляйте келих,&lt;br /&gt;</w:t>
        <w:br/>
        <w:t>де хміль нуртує соком!</w:t>
      </w:r>
    </w:p>
    <w:p>
      <w:r>
        <w:br/>
        <w:t>За око — враже око!&lt;br /&gt;</w:t>
        <w:br/>
        <w:t>Одному з двох упасти.&lt;br /&gt;</w:t>
        <w:br/>
        <w:t>Рука тверда, гранчаста,&lt;br /&gt;</w:t>
        <w:br/>
        <w:t>ніж гострий та широкий.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око — враже око…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