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З-під юга</w:t>
      </w:r>
    </w:p>
    <w:p>
      <w:r>
        <w:br/>
        <w:t xml:space="preserve"> "Як же ж віє! наче пріє&lt;br /&gt;</w:t>
        <w:br/>
        <w:t>З-під юга!..&lt;br /&gt;</w:t>
        <w:br/>
        <w:t>Вадь, що з хмари громов вдарить&lt;br /&gt;</w:t>
        <w:br/>
        <w:t>Потуга?..&lt;br /&gt;</w:t>
        <w:br/>
        <w:t>Та коли вже, о южане,&lt;br /&gt;</w:t>
        <w:br/>
        <w:t>Він обсушить ваші рани?&lt;br /&gt;</w:t>
        <w:br/>
        <w:t>Коли то?..&lt;br /&gt;</w:t>
        <w:br/>
        <w:t>Ще ти то,&lt;br /&gt;</w:t>
        <w:br/>
        <w:t>Южане?" —&lt;br /&gt;</w:t>
        <w:br/>
        <w:t>"Ще я то!&lt;br /&gt;</w:t>
        <w:br/>
        <w:t>Почато:&lt;br /&gt;</w:t>
        <w:br/>
        <w:t>До брані!!"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З-під юга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