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Їжачок-хитрячок</w:t>
      </w:r>
    </w:p>
    <w:p>
      <w:r>
        <w:br/>
        <w:t xml:space="preserve"> Їжачок-хитрячок&lt;br /&gt;</w:t>
        <w:br/>
        <w:t>Із голок та шпичок&lt;br /&gt;</w:t>
        <w:br/>
        <w:t>Пошив собі піджачок.&lt;br /&gt;</w:t>
        <w:br/>
        <w:t>І у тому піджачку&lt;br /&gt;</w:t>
        <w:br/>
        <w:t>Він гуляє по садку.&lt;br /&gt;</w:t>
        <w:br/>
        <w:t>Натикає на голки&lt;br /&gt;</w:t>
        <w:br/>
        <w:t>Груші, яблука, сливки.&lt;br /&gt;</w:t>
        <w:br/>
        <w:t>І до себе на обід&lt;br /&gt;</w:t>
        <w:br/>
        <w:t>Він скликає цілий рід.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Їжачок-хитрячок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