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ані словом, ні співом...</w:t>
      </w:r>
    </w:p>
    <w:p>
      <w:r>
        <w:br/>
        <w:t xml:space="preserve"> Вже ані словом, ні співом,&lt;br /&gt;</w:t>
        <w:br/>
        <w:t>ні блиском очей не приваблю&lt;br /&gt;</w:t>
        <w:br/>
        <w:t>Юного серця.&lt;br /&gt;</w:t>
        <w:br/>
        <w:t>Та є в мене доня, мій паросток ніжний,&lt;br /&gt;</w:t>
        <w:br/>
        <w:t>Буде любити мене і вечірнього.&lt;br /&gt;</w:t>
        <w:br/>
        <w:t>Буду їй милий&lt;br /&gt;</w:t>
        <w:br/>
        <w:t>Навіть тоді,&lt;br /&gt;</w:t>
        <w:br/>
        <w:t>як затихну під брилами смертної&lt;br /&gt;</w:t>
        <w:br/>
        <w:t>ночі.</w:t>
      </w:r>
    </w:p>
    <w:p>
      <w:r>
        <w:br/>
        <w:t>Із збірки "Медобір"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ані словом, ні співом...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