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Взаємність</w:t>
      </w:r>
    </w:p>
    <w:p>
      <w:r>
        <w:br/>
        <w:t xml:space="preserve"> Взаємність</w:t>
      </w:r>
    </w:p>
    <w:p>
      <w:r>
        <w:br/>
        <w:t>Іншим хтозна-що потрібне —&lt;br /&gt;</w:t>
        <w:br/>
        <w:t>Слава, блиск, начиння срібне,&lt;br /&gt;</w:t>
        <w:br/>
        <w:t>А у мене в серці мила&lt;br /&gt;</w:t>
        <w:br/>
        <w:t>Срібло й золото затьмила.</w:t>
      </w:r>
    </w:p>
    <w:p>
      <w:r>
        <w:br/>
        <w:t>Хай лише до мене ступить,&lt;br /&gt;</w:t>
        <w:br/>
        <w:t>Одного мене полюбить,-&lt;br /&gt;</w:t>
        <w:br/>
        <w:t>От де скарб! Оце придане,&lt;br /&gt;</w:t>
        <w:br/>
        <w:t>Що за всі маєтки стане!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Взаємність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