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Всі шляхи богам відкриті...</w:t>
      </w:r>
    </w:p>
    <w:p>
      <w:r>
        <w:br/>
        <w:t xml:space="preserve"> Всі шляхи богам відкриті —&lt;br /&gt;</w:t>
        <w:br/>
        <w:t>Часто з чорної землі&lt;br /&gt;</w:t>
        <w:br/>
        <w:t>Піднімають горем вбитих,&lt;br /&gt;</w:t>
        <w:br/>
        <w:t>А не раз по волі їх&lt;br /&gt;</w:t>
        <w:br/>
        <w:t>Самовпевнені і горді,&lt;br /&gt;</w:t>
        <w:br/>
        <w:t>Мов підкошені падуть.&lt;br /&gt;</w:t>
        <w:br/>
        <w:t>І тоді за лихом лихо&lt;br /&gt;</w:t>
        <w:br/>
        <w:t>Гне їм спину, і вони&lt;br /&gt;</w:t>
        <w:br/>
        <w:t>Йдуть по світу жебраками&lt;br /&gt;</w:t>
        <w:br/>
        <w:t>Без думок і без мети.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Всі шляхи богам відкриті...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