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нижче сонце і все довші тіні...</w:t>
      </w:r>
    </w:p>
    <w:p>
      <w:r>
        <w:br/>
        <w:t xml:space="preserve"> Все нижче сонце і все довші тіні,&lt;br /&gt;</w:t>
        <w:br/>
        <w:t>і гасне час, як під вогнем свіча.&lt;br /&gt;</w:t>
        <w:br/>
        <w:t>Усе частіш встає примара тліні,&lt;br /&gt;</w:t>
        <w:br/>
        <w:t>і все ми більше схожі на прочан.</w:t>
      </w:r>
    </w:p>
    <w:p>
      <w:r>
        <w:br/>
        <w:t>На дні судьби невипита краплина&lt;br /&gt;</w:t>
        <w:br/>
        <w:t>святих чуттів виблискує, мов ртуть.&lt;br /&gt;</w:t>
        <w:br/>
        <w:t>Душі моєї невблаганні днини&lt;br /&gt;</w:t>
        <w:br/>
        <w:t>ідуть до мене і від мене йдуть.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нижче сонце і все довші тіні...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