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для речення багато важать</w:t>
      </w:r>
    </w:p>
    <w:p>
      <w:r>
        <w:br/>
        <w:t xml:space="preserve"> Загадка</w:t>
      </w:r>
    </w:p>
    <w:p>
      <w:r>
        <w:br/>
        <w:t>Вони для речення багато важать:&lt;br /&gt;</w:t>
        <w:br/>
        <w:t>турботливо обнімуть, як дружки,&lt;br /&gt;</w:t>
        <w:br/>
        <w:t>і вставлені слова й цитату вкажуть,&lt;br /&gt;</w:t>
        <w:br/>
        <w:t>Давайте ж назовем їх. Це —</w:t>
      </w:r>
    </w:p>
    <w:p>
      <w:r>
        <w:br/>
        <w:t>(Дужки)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для речення багато важать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