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Воля</w:t>
      </w:r>
    </w:p>
    <w:p>
      <w:r>
        <w:br/>
        <w:t xml:space="preserve"> Ночі… дні… потоки… зливи… грози…&lt;br /&gt;</w:t>
        <w:br/>
        <w:t>Понад шляхом білії берези…&lt;br /&gt;</w:t>
        <w:br/>
        <w:t>Так би і текло…&lt;br /&gt;</w:t>
        <w:br/>
        <w:t>Та ні! Одного ранку&lt;br /&gt;</w:t>
        <w:br/>
        <w:t>Серце взяв, поклав його на леза,&lt;br /&gt;</w:t>
        <w:br/>
        <w:t>Коливав, як ранок млу у полі,&lt;br /&gt;</w:t>
        <w:br/>
        <w:t>Гострим променем поїв, – поїв&lt;br /&gt;</w:t>
        <w:br/>
        <w:t>Та краяв…&lt;br /&gt;</w:t>
        <w:br/>
        <w:t>Понад шляхом білії берези —&lt;br /&gt;</w:t>
        <w:br/>
        <w:t>Пісня жит і поля, – до безкраю.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