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Владарка мовчань</w:t>
      </w:r>
    </w:p>
    <w:p>
      <w:r>
        <w:br/>
        <w:t xml:space="preserve"> Є тільки дикої яблуні квіт, вельон біло-рожевий,&lt;br /&gt;</w:t>
        <w:br/>
        <w:t>впала вона вже давно, але все ще триває життя —&lt;br /&gt;</w:t>
        <w:br/>
        <w:t>лежачи квітне, ніким не помічена, в хащах,&lt;br /&gt;</w:t>
        <w:br/>
        <w:t>квітне для себе, а бджоли спивають нектар&lt;br /&gt;</w:t>
        <w:br/>
        <w:t>і таїну бережуть, повертаючись після причастя.</w:t>
      </w:r>
    </w:p>
    <w:p>
      <w:r>
        <w:br/>
        <w:t>О, зроби нам гніздо, заховай і його в пелюстках,&lt;br /&gt;</w:t>
        <w:br/>
        <w:t>крізь усі палімпсести призахідних хмар незліченних&lt;br /&gt;</w:t>
        <w:br/>
        <w:t>научи нас читати найперше, єдине мовчання,&lt;br /&gt;</w:t>
        <w:br/>
        <w:t>що записане в небі притомності рунами.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Владарка мовчань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