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 довго боком, оком Бог водив...</w:t>
      </w:r>
    </w:p>
    <w:p>
      <w:r>
        <w:br/>
        <w:t xml:space="preserve"> Ви довго боком, оком Бог водив.&lt;br /&gt;</w:t>
        <w:br/>
        <w:t>Око&lt;br /&gt;</w:t>
        <w:br/>
        <w:t>В&lt;br /&gt;</w:t>
        <w:br/>
        <w:t>Око.&lt;br /&gt;</w:t>
        <w:br/>
        <w:t>Високо Гюго косив...&lt;br /&gt;</w:t>
        <w:br/>
        <w:t>І Сиваша висі&lt;br /&gt;</w:t>
        <w:br/>
        <w:t>Он Бог обно-&lt;br /&gt;</w:t>
        <w:br/>
        <w:t>вив,&lt;br /&gt;</w:t>
        <w:br/>
        <w:t>Бо ж об-&lt;br /&gt;</w:t>
        <w:br/>
        <w:t>вив&lt;br /&gt;</w:t>
        <w:br/>
        <w:t>У мак... А ви душу — дивакам...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 довго боком, оком Бог водив...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