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 ("Так, наче все, що спалено на дим...")</w:t>
      </w:r>
    </w:p>
    <w:p>
      <w:r>
        <w:br/>
        <w:t xml:space="preserve"> Так, наче все, що спалено на дим,&lt;br /&gt;</w:t>
        <w:br/>
        <w:t>Вертається з вітрами. Сиве око&lt;br /&gt;</w:t>
        <w:br/>
        <w:t>Ще блимає над обрієм блідим.&lt;br /&gt;</w:t>
        <w:br/>
        <w:t>І марить місто спокоєм. І соком,&lt;br /&gt;</w:t>
        <w:br/>
        <w:t>Терпким і сильним, повниться трава&lt;br /&gt;</w:t>
        <w:br/>
        <w:t>З асфальтових вибоїн. І над нами –&lt;br /&gt;</w:t>
        <w:br/>
        <w:t>Чиясь долоня, тепла і жива,&lt;br /&gt;</w:t>
        <w:br/>
        <w:t>З блакитними – крізь пальці – небесами.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 ("Так, наче все, що спалено на дим...")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