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Ведмедики</w:t>
      </w:r>
    </w:p>
    <w:p>
      <w:r>
        <w:br/>
        <w:t xml:space="preserve"> Ведмежаток я взяла,&lt;br /&gt;</w:t>
        <w:br/>
        <w:t>Посадила до стола,&lt;br /&gt;</w:t>
        <w:br/>
        <w:t>Стала медом частувати:&lt;br /&gt;</w:t>
        <w:br/>
        <w:t>— Пригощайтесь, ведмежата!&lt;br /&gt;</w:t>
        <w:br/>
        <w:t>А ведмедики сидять&lt;br /&gt;</w:t>
        <w:br/>
        <w:t>І нічого не їдять:&lt;br /&gt;</w:t>
        <w:br/>
        <w:t>Скуштувать медку охота —&lt;br /&gt;</w:t>
        <w:br/>
        <w:t>Та відкрить не можуть рота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Ведмедики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