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тумані луг...</w:t>
      </w:r>
    </w:p>
    <w:p>
      <w:r>
        <w:br/>
        <w:t xml:space="preserve"> В тумані луг…&lt;br /&gt;</w:t>
        <w:br/>
        <w:t>Мовчать над водами осоки&lt;br /&gt;</w:t>
        <w:br/>
        <w:t>І нижуть зорі ясноокі&lt;br /&gt;</w:t>
        <w:br/>
        <w:t>На трави росяний жемчуг.&lt;br /&gt;</w:t>
        <w:br/>
        <w:t>Весняна ніч вплела у коси&lt;br /&gt;</w:t>
        <w:br/>
        <w:t>Блискучий місяць, мов дукач,&lt;br /&gt;</w:t>
        <w:br/>
        <w:t>І в чисту урну сльози зносе,&lt;br /&gt;</w:t>
        <w:br/>
        <w:t>І в урні тихне людський плач…&lt;br /&gt;</w:t>
        <w:br/>
        <w:t>В тумані луг…&lt;br /&gt;</w:t>
        <w:br/>
        <w:t>Все спіть, хто спокою не знає&lt;br /&gt;</w:t>
        <w:br/>
        <w:t>І кожен хай у снах збирає&lt;br /&gt;</w:t>
        <w:br/>
        <w:t>Рубіни щастя і жемчуг!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тумані луг...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