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царстві висот</w:t>
      </w:r>
    </w:p>
    <w:p>
      <w:r>
        <w:br/>
        <w:t xml:space="preserve"> Я, мов дух, в самоті&lt;br /&gt;</w:t>
        <w:br/>
        <w:t>В чарівній висоті,&lt;br /&gt;</w:t>
        <w:br/>
        <w:t>В невимовно-чудовому мирі,&lt;br /&gt;</w:t>
        <w:br/>
        <w:t>Де горять,&lt;br /&gt;</w:t>
        <w:br/>
        <w:t>Миготять&lt;br /&gt;</w:t>
        <w:br/>
        <w:t>Зорі — свічі святі&lt;br /&gt;</w:t>
        <w:br/>
        <w:t>В голубому ефірі,—&lt;br /&gt;</w:t>
        <w:br/>
        <w:t>Красоті помолюсь&lt;br /&gt;</w:t>
        <w:br/>
        <w:t>І заллюсь,&lt;br /&gt;</w:t>
        <w:br/>
        <w:t>Розіллюсь&lt;br /&gt;</w:t>
        <w:br/>
        <w:t>В передзвонах та царственій лірі.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царстві висот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