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очах, мов сонце сходить світле...</w:t>
      </w:r>
    </w:p>
    <w:p>
      <w:r>
        <w:br/>
        <w:t xml:space="preserve"> В очах, мов сонце сходить світле —&lt;br /&gt;</w:t>
        <w:br/>
        <w:t>От-от запалить вії,&lt;br /&gt;</w:t>
        <w:br/>
        <w:t>На грудях вітонька розквітла&lt;br /&gt;</w:t>
        <w:br/>
        <w:t>Бузкова ліловіє.</w:t>
      </w:r>
    </w:p>
    <w:p>
      <w:r>
        <w:br/>
        <w:t>Де декольте — співає виріз,&lt;br /&gt;</w:t>
        <w:br/>
        <w:t>Де сніжність стидно-гола...&lt;br /&gt;</w:t>
        <w:br/>
        <w:t>Скажи, з душі то буз той виріс,&lt;br /&gt;</w:t>
        <w:br/>
        <w:t>Чи ти то приколола?</w:t>
      </w:r>
    </w:p>
    <w:p>
      <w:r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очах, мов сонце сходить світле...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